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50C2" w14:textId="169EEA8C" w:rsidR="0011047E" w:rsidRPr="008A1895" w:rsidRDefault="00000000">
      <w:pPr>
        <w:spacing w:after="0" w:line="294" w:lineRule="auto"/>
        <w:ind w:left="0" w:firstLine="0"/>
        <w:rPr>
          <w:lang w:val="en-US"/>
        </w:rPr>
      </w:pPr>
      <w:r w:rsidRPr="008A1895">
        <w:rPr>
          <w:rFonts w:ascii="Constantia" w:eastAsia="Constantia" w:hAnsi="Constantia" w:cs="Constantia"/>
          <w:b/>
          <w:color w:val="990000"/>
          <w:sz w:val="32"/>
          <w:lang w:val="en-US"/>
        </w:rPr>
        <w:t xml:space="preserve">Registration of enterprises and contact persons for reporting of MiFIR transactions to TRSII – </w:t>
      </w:r>
      <w:r w:rsidR="00BF6170">
        <w:rPr>
          <w:rFonts w:ascii="Constantia" w:eastAsia="Constantia" w:hAnsi="Constantia" w:cs="Constantia"/>
          <w:b/>
          <w:color w:val="990000"/>
          <w:sz w:val="32"/>
          <w:lang w:val="en-US"/>
        </w:rPr>
        <w:t>T</w:t>
      </w:r>
      <w:r w:rsidRPr="008A1895">
        <w:rPr>
          <w:rFonts w:ascii="Constantia" w:eastAsia="Constantia" w:hAnsi="Constantia" w:cs="Constantia"/>
          <w:b/>
          <w:color w:val="990000"/>
          <w:sz w:val="32"/>
          <w:lang w:val="en-US"/>
        </w:rPr>
        <w:t xml:space="preserve">est environment </w:t>
      </w:r>
    </w:p>
    <w:p w14:paraId="56A8F5F2" w14:textId="77777777" w:rsidR="0011047E" w:rsidRPr="008A1895" w:rsidRDefault="00000000">
      <w:pPr>
        <w:spacing w:after="19" w:line="259" w:lineRule="auto"/>
        <w:ind w:left="0" w:firstLine="0"/>
        <w:rPr>
          <w:lang w:val="en-US"/>
        </w:rPr>
      </w:pPr>
      <w:r w:rsidRPr="008A1895">
        <w:rPr>
          <w:b/>
          <w:lang w:val="en-US"/>
        </w:rPr>
        <w:t xml:space="preserve"> </w:t>
      </w:r>
    </w:p>
    <w:p w14:paraId="2AF02C18" w14:textId="77777777" w:rsidR="0011047E" w:rsidRPr="008A1895" w:rsidRDefault="00000000">
      <w:pPr>
        <w:spacing w:after="16" w:line="259" w:lineRule="auto"/>
        <w:ind w:left="0" w:firstLine="0"/>
        <w:rPr>
          <w:lang w:val="en-US"/>
        </w:rPr>
      </w:pPr>
      <w:r w:rsidRPr="008A1895">
        <w:rPr>
          <w:b/>
          <w:lang w:val="en-US"/>
        </w:rPr>
        <w:t xml:space="preserve"> </w:t>
      </w:r>
    </w:p>
    <w:p w14:paraId="5AD84CC4" w14:textId="77777777" w:rsidR="0011047E" w:rsidRPr="008A1895" w:rsidRDefault="00000000">
      <w:pPr>
        <w:pStyle w:val="Overskrift1"/>
        <w:ind w:left="-5"/>
        <w:rPr>
          <w:lang w:val="en-US"/>
        </w:rPr>
      </w:pPr>
      <w:r w:rsidRPr="008A1895">
        <w:rPr>
          <w:lang w:val="en-US"/>
        </w:rPr>
        <w:t>General information</w:t>
      </w:r>
      <w:r w:rsidRPr="008A1895">
        <w:rPr>
          <w:u w:val="none"/>
          <w:lang w:val="en-US"/>
        </w:rPr>
        <w:t xml:space="preserve"> </w:t>
      </w:r>
    </w:p>
    <w:p w14:paraId="3705CFF3" w14:textId="77777777" w:rsidR="0011047E" w:rsidRPr="008A1895" w:rsidRDefault="00000000">
      <w:pPr>
        <w:spacing w:after="207"/>
        <w:ind w:left="-5"/>
        <w:rPr>
          <w:lang w:val="en-US"/>
        </w:rPr>
      </w:pPr>
      <w:r w:rsidRPr="008A1895">
        <w:rPr>
          <w:lang w:val="en-US"/>
        </w:rPr>
        <w:t xml:space="preserve">Securities dealers, approved reporting mechanisms (ARM) and trading venues which are to report transactions to the Danish FSA pursuant to article 26 of MiFIR must be registered with the FSA and be established in the new TRS system of the FSA, hereafter TRSII. </w:t>
      </w:r>
    </w:p>
    <w:p w14:paraId="75076176" w14:textId="77777777" w:rsidR="0011047E" w:rsidRPr="008A1895" w:rsidRDefault="00000000">
      <w:pPr>
        <w:spacing w:after="207"/>
        <w:ind w:left="-5"/>
        <w:rPr>
          <w:lang w:val="en-US"/>
        </w:rPr>
      </w:pPr>
      <w:r w:rsidRPr="008A1895">
        <w:rPr>
          <w:lang w:val="en-US"/>
        </w:rPr>
        <w:t xml:space="preserve">This information and the enclosed form relate only to establishment of enterprises in the TRSII test environments, and therefore it is not a precondition that the enterprise is approved in advance as for instance an ARM.  </w:t>
      </w:r>
    </w:p>
    <w:p w14:paraId="3732D0F2" w14:textId="77777777" w:rsidR="0011047E" w:rsidRPr="008A1895" w:rsidRDefault="00000000">
      <w:pPr>
        <w:ind w:left="-5"/>
        <w:rPr>
          <w:lang w:val="en-US"/>
        </w:rPr>
      </w:pPr>
      <w:r w:rsidRPr="008A1895">
        <w:rPr>
          <w:lang w:val="en-US"/>
        </w:rPr>
        <w:t xml:space="preserve">Pursuant to article 26 of MiFIR, as from 3 January 2018 reporting is to be made to the new TRSII system, which replaces the present TRS system. </w:t>
      </w:r>
      <w:proofErr w:type="gramStart"/>
      <w:r w:rsidRPr="008A1895">
        <w:rPr>
          <w:lang w:val="en-US"/>
        </w:rPr>
        <w:t>In order to</w:t>
      </w:r>
      <w:proofErr w:type="gramEnd"/>
      <w:r w:rsidRPr="008A1895">
        <w:rPr>
          <w:lang w:val="en-US"/>
        </w:rPr>
        <w:t xml:space="preserve"> gain access to the production environment, the reporting entity must have carried through test against the FSA’s test environment.  </w:t>
      </w:r>
    </w:p>
    <w:p w14:paraId="3386AF1A" w14:textId="77777777" w:rsidR="0011047E" w:rsidRPr="008A1895" w:rsidRDefault="00000000">
      <w:pPr>
        <w:spacing w:after="16" w:line="259" w:lineRule="auto"/>
        <w:ind w:left="0" w:firstLine="0"/>
        <w:rPr>
          <w:lang w:val="en-US"/>
        </w:rPr>
      </w:pPr>
      <w:r w:rsidRPr="008A1895">
        <w:rPr>
          <w:lang w:val="en-US"/>
        </w:rPr>
        <w:t xml:space="preserve"> </w:t>
      </w:r>
    </w:p>
    <w:p w14:paraId="50F85475" w14:textId="77777777" w:rsidR="0011047E" w:rsidRPr="008A1895" w:rsidRDefault="00000000">
      <w:pPr>
        <w:pStyle w:val="Overskrift1"/>
        <w:ind w:left="-5"/>
        <w:rPr>
          <w:lang w:val="en-US"/>
        </w:rPr>
      </w:pPr>
      <w:r w:rsidRPr="008A1895">
        <w:rPr>
          <w:lang w:val="en-US"/>
        </w:rPr>
        <w:t>Production and test environments</w:t>
      </w:r>
      <w:r w:rsidRPr="008A1895">
        <w:rPr>
          <w:u w:val="none"/>
          <w:lang w:val="en-US"/>
        </w:rPr>
        <w:t xml:space="preserve"> </w:t>
      </w:r>
    </w:p>
    <w:p w14:paraId="61CCE870" w14:textId="77777777" w:rsidR="0011047E" w:rsidRPr="008A1895" w:rsidRDefault="00000000">
      <w:pPr>
        <w:ind w:left="-5"/>
        <w:rPr>
          <w:lang w:val="en-US"/>
        </w:rPr>
      </w:pPr>
      <w:r w:rsidRPr="008A1895">
        <w:rPr>
          <w:lang w:val="en-US"/>
        </w:rPr>
        <w:t xml:space="preserve">TRSII is established with a production system and two test systems, TEST1 and TEST2. The two test systems will be configured with the production version and the coming version of the TRSII system, respectively. Until commencement of production all the environments will have test versions of TRSII.  </w:t>
      </w:r>
    </w:p>
    <w:p w14:paraId="091FF4E9" w14:textId="0CE87814" w:rsidR="0011047E" w:rsidRPr="008A1895" w:rsidRDefault="0011047E">
      <w:pPr>
        <w:spacing w:after="19" w:line="259" w:lineRule="auto"/>
        <w:ind w:left="0" w:firstLine="0"/>
        <w:rPr>
          <w:lang w:val="en-US"/>
        </w:rPr>
      </w:pPr>
    </w:p>
    <w:p w14:paraId="343525DB" w14:textId="77777777" w:rsidR="0011047E" w:rsidRPr="008A1895" w:rsidRDefault="00000000">
      <w:pPr>
        <w:pStyle w:val="Overskrift1"/>
        <w:ind w:left="-5"/>
        <w:rPr>
          <w:lang w:val="en-US"/>
        </w:rPr>
      </w:pPr>
      <w:r w:rsidRPr="008A1895">
        <w:rPr>
          <w:lang w:val="en-US"/>
        </w:rPr>
        <w:t>Communication protocols and set-up</w:t>
      </w:r>
      <w:r w:rsidRPr="008A1895">
        <w:rPr>
          <w:u w:val="none"/>
          <w:lang w:val="en-US"/>
        </w:rPr>
        <w:t xml:space="preserve"> </w:t>
      </w:r>
    </w:p>
    <w:p w14:paraId="75FA0B29" w14:textId="77777777" w:rsidR="0011047E" w:rsidRPr="008A1895" w:rsidRDefault="00000000">
      <w:pPr>
        <w:ind w:left="-5"/>
        <w:rPr>
          <w:lang w:val="en-US"/>
        </w:rPr>
      </w:pPr>
      <w:r w:rsidRPr="008A1895">
        <w:rPr>
          <w:lang w:val="en-US"/>
        </w:rPr>
        <w:t xml:space="preserve">Communication with the TRSII system will be based on SFTP technology via the Internet. </w:t>
      </w:r>
    </w:p>
    <w:p w14:paraId="148B2479" w14:textId="77777777" w:rsidR="0011047E" w:rsidRPr="008A1895" w:rsidRDefault="00000000">
      <w:pPr>
        <w:spacing w:after="19" w:line="259" w:lineRule="auto"/>
        <w:ind w:left="0" w:firstLine="0"/>
        <w:rPr>
          <w:lang w:val="en-US"/>
        </w:rPr>
      </w:pPr>
      <w:r w:rsidRPr="008A1895">
        <w:rPr>
          <w:b/>
          <w:lang w:val="en-US"/>
        </w:rPr>
        <w:t xml:space="preserve"> </w:t>
      </w:r>
    </w:p>
    <w:p w14:paraId="3903041C" w14:textId="77777777" w:rsidR="0011047E" w:rsidRPr="008A1895" w:rsidRDefault="00000000">
      <w:pPr>
        <w:spacing w:after="42"/>
        <w:ind w:left="-5"/>
        <w:rPr>
          <w:lang w:val="en-US"/>
        </w:rPr>
      </w:pPr>
      <w:r w:rsidRPr="008A1895">
        <w:rPr>
          <w:lang w:val="en-US"/>
        </w:rPr>
        <w:t xml:space="preserve">For opening of access to the test environments the entity must do as follows: </w:t>
      </w:r>
    </w:p>
    <w:p w14:paraId="43C16AF5" w14:textId="0FB33983" w:rsidR="0011047E" w:rsidRPr="008A1895" w:rsidRDefault="00000000">
      <w:pPr>
        <w:numPr>
          <w:ilvl w:val="0"/>
          <w:numId w:val="1"/>
        </w:numPr>
        <w:spacing w:after="35"/>
        <w:ind w:hanging="360"/>
        <w:rPr>
          <w:lang w:val="en-US"/>
        </w:rPr>
      </w:pPr>
      <w:r w:rsidRPr="008A1895">
        <w:rPr>
          <w:lang w:val="en-US"/>
        </w:rPr>
        <w:t xml:space="preserve">Provide SFTP (IP) source address and in respect of ARMs also related Executing Entities, which must be forwarded to the Danish FSA by e-mail to </w:t>
      </w:r>
      <w:r w:rsidR="008A1895">
        <w:rPr>
          <w:color w:val="0000FF"/>
          <w:u w:val="single" w:color="0000FF"/>
          <w:lang w:val="en-US"/>
        </w:rPr>
        <w:t>post4</w:t>
      </w:r>
      <w:r w:rsidRPr="008A1895">
        <w:rPr>
          <w:color w:val="0000FF"/>
          <w:u w:val="single" w:color="0000FF"/>
          <w:lang w:val="en-US"/>
        </w:rPr>
        <w:t>@ftnet.dk</w:t>
      </w:r>
      <w:r w:rsidRPr="008A1895">
        <w:rPr>
          <w:lang w:val="en-US"/>
        </w:rPr>
        <w:t xml:space="preserve"> in the enclosed form. </w:t>
      </w:r>
    </w:p>
    <w:p w14:paraId="6E31091A" w14:textId="6420824C" w:rsidR="0011047E" w:rsidRPr="008A1895" w:rsidRDefault="00000000">
      <w:pPr>
        <w:numPr>
          <w:ilvl w:val="0"/>
          <w:numId w:val="1"/>
        </w:numPr>
        <w:ind w:hanging="360"/>
        <w:rPr>
          <w:lang w:val="en-US"/>
        </w:rPr>
      </w:pPr>
      <w:r w:rsidRPr="008A1895">
        <w:rPr>
          <w:lang w:val="en-US"/>
        </w:rPr>
        <w:t xml:space="preserve">Form an SSH key pair. The public SSH key is forwarded in a separate mail to </w:t>
      </w:r>
      <w:r w:rsidR="008A1895">
        <w:rPr>
          <w:lang w:val="en-US"/>
        </w:rPr>
        <w:t>Progressive</w:t>
      </w:r>
      <w:r w:rsidRPr="008A1895">
        <w:rPr>
          <w:lang w:val="en-US"/>
        </w:rPr>
        <w:t xml:space="preserve"> at: </w:t>
      </w:r>
    </w:p>
    <w:p w14:paraId="6A370AF3" w14:textId="30E3A85A" w:rsidR="0011047E" w:rsidRPr="008A1895" w:rsidRDefault="008A1895">
      <w:pPr>
        <w:ind w:left="730"/>
        <w:rPr>
          <w:lang w:val="en-US"/>
        </w:rPr>
      </w:pPr>
      <w:r>
        <w:rPr>
          <w:color w:val="0000FF"/>
          <w:u w:val="single" w:color="0000FF"/>
          <w:lang w:val="en-US"/>
        </w:rPr>
        <w:t>support</w:t>
      </w:r>
      <w:r w:rsidRPr="008A1895">
        <w:rPr>
          <w:color w:val="0000FF"/>
          <w:u w:val="single" w:color="0000FF"/>
          <w:lang w:val="en-US"/>
        </w:rPr>
        <w:t>@</w:t>
      </w:r>
      <w:r>
        <w:rPr>
          <w:color w:val="0000FF"/>
          <w:u w:val="single" w:color="0000FF"/>
          <w:lang w:val="en-US"/>
        </w:rPr>
        <w:t>TRSii</w:t>
      </w:r>
      <w:r w:rsidRPr="008A1895">
        <w:rPr>
          <w:color w:val="0000FF"/>
          <w:u w:val="single" w:color="0000FF"/>
          <w:lang w:val="en-US"/>
        </w:rPr>
        <w:t>.dk</w:t>
      </w:r>
      <w:r w:rsidRPr="008A1895">
        <w:rPr>
          <w:lang w:val="en-US"/>
        </w:rPr>
        <w:t xml:space="preserve">. It is also possible to forward two public keys if separate keys are requested for the two test environments (TEST1 and TEST2).  The public key(s) should be forwarded in an OpenSSH format, be of the </w:t>
      </w:r>
      <w:proofErr w:type="gramStart"/>
      <w:r w:rsidRPr="008A1895">
        <w:rPr>
          <w:lang w:val="en-US"/>
        </w:rPr>
        <w:t>type</w:t>
      </w:r>
      <w:proofErr w:type="gramEnd"/>
      <w:r w:rsidRPr="008A1895">
        <w:rPr>
          <w:lang w:val="en-US"/>
        </w:rPr>
        <w:t xml:space="preserve"> RSA and have a key length of 2048 or 4096 bit. The name of the Submitting Entity and the environment (</w:t>
      </w:r>
      <w:proofErr w:type="gramStart"/>
      <w:r w:rsidRPr="008A1895">
        <w:rPr>
          <w:lang w:val="en-US"/>
        </w:rPr>
        <w:t>i.e.</w:t>
      </w:r>
      <w:proofErr w:type="gramEnd"/>
      <w:r w:rsidRPr="008A1895">
        <w:rPr>
          <w:lang w:val="en-US"/>
        </w:rPr>
        <w:t xml:space="preserve"> TEST1 or TEST2 if separate keys are requested) may advantageously be stated in the SSH key comment.  </w:t>
      </w:r>
    </w:p>
    <w:p w14:paraId="5CAC0AAE" w14:textId="77777777" w:rsidR="0011047E" w:rsidRPr="008A1895" w:rsidRDefault="00000000">
      <w:pPr>
        <w:spacing w:after="19" w:line="259" w:lineRule="auto"/>
        <w:ind w:left="0" w:firstLine="0"/>
        <w:rPr>
          <w:lang w:val="en-US"/>
        </w:rPr>
      </w:pPr>
      <w:r w:rsidRPr="008A1895">
        <w:rPr>
          <w:lang w:val="en-US"/>
        </w:rPr>
        <w:t xml:space="preserve"> </w:t>
      </w:r>
    </w:p>
    <w:p w14:paraId="4F229F75" w14:textId="77777777" w:rsidR="0011047E" w:rsidRPr="008A1895" w:rsidRDefault="00000000">
      <w:pPr>
        <w:ind w:left="-5"/>
        <w:rPr>
          <w:lang w:val="en-US"/>
        </w:rPr>
      </w:pPr>
      <w:r w:rsidRPr="008A1895">
        <w:rPr>
          <w:lang w:val="en-US"/>
        </w:rPr>
        <w:t xml:space="preserve">When source address has been received and whitelisted in the incoming firewall and SSH key(s) have been received and registered, credentials and information for logging into test environments 1 and 2 will be forwarded.  </w:t>
      </w:r>
    </w:p>
    <w:p w14:paraId="7E4C3B12" w14:textId="77777777" w:rsidR="0011047E" w:rsidRPr="008A1895" w:rsidRDefault="00000000">
      <w:pPr>
        <w:spacing w:after="16" w:line="259" w:lineRule="auto"/>
        <w:ind w:left="0" w:firstLine="0"/>
        <w:rPr>
          <w:lang w:val="en-US"/>
        </w:rPr>
      </w:pPr>
      <w:r w:rsidRPr="008A1895">
        <w:rPr>
          <w:lang w:val="en-US"/>
        </w:rPr>
        <w:t xml:space="preserve"> </w:t>
      </w:r>
    </w:p>
    <w:p w14:paraId="4D830D23" w14:textId="77777777" w:rsidR="0011047E" w:rsidRPr="008A1895" w:rsidRDefault="00000000">
      <w:pPr>
        <w:pStyle w:val="Overskrift1"/>
        <w:ind w:left="-5"/>
        <w:rPr>
          <w:lang w:val="en-US"/>
        </w:rPr>
      </w:pPr>
      <w:r w:rsidRPr="008A1895">
        <w:rPr>
          <w:lang w:val="en-US"/>
        </w:rPr>
        <w:t xml:space="preserve">Deadlines after opening for test with </w:t>
      </w:r>
      <w:proofErr w:type="gramStart"/>
      <w:r w:rsidRPr="008A1895">
        <w:rPr>
          <w:lang w:val="en-US"/>
        </w:rPr>
        <w:t>TRSII</w:t>
      </w:r>
      <w:proofErr w:type="gramEnd"/>
      <w:r w:rsidRPr="008A1895">
        <w:rPr>
          <w:u w:val="none"/>
          <w:lang w:val="en-US"/>
        </w:rPr>
        <w:t xml:space="preserve"> </w:t>
      </w:r>
    </w:p>
    <w:p w14:paraId="379BCB43" w14:textId="77777777" w:rsidR="0011047E" w:rsidRPr="008A1895" w:rsidRDefault="00000000">
      <w:pPr>
        <w:ind w:left="-5"/>
        <w:rPr>
          <w:lang w:val="en-US"/>
        </w:rPr>
      </w:pPr>
      <w:r w:rsidRPr="008A1895">
        <w:rPr>
          <w:lang w:val="en-US"/>
        </w:rPr>
        <w:t xml:space="preserve">The enclosed form must be forwarded to the Danish FSA at least 10 working days before expected connection to the TRSII test environments.  </w:t>
      </w:r>
    </w:p>
    <w:p w14:paraId="6ED1911E" w14:textId="47D73CB2" w:rsidR="0011047E" w:rsidRPr="008A1895" w:rsidRDefault="00000000">
      <w:pPr>
        <w:ind w:left="-5"/>
        <w:rPr>
          <w:lang w:val="en-US"/>
        </w:rPr>
      </w:pPr>
      <w:r w:rsidRPr="008A1895">
        <w:rPr>
          <w:lang w:val="en-US"/>
        </w:rPr>
        <w:lastRenderedPageBreak/>
        <w:t xml:space="preserve">SSH key pairs must be forwarded to </w:t>
      </w:r>
      <w:r w:rsidR="008A1895">
        <w:rPr>
          <w:lang w:val="en-US"/>
        </w:rPr>
        <w:t>Progressive</w:t>
      </w:r>
      <w:r w:rsidRPr="008A1895">
        <w:rPr>
          <w:lang w:val="en-US"/>
        </w:rPr>
        <w:t xml:space="preserve"> at least 10 working days before expected connection to the TRSII test environments. </w:t>
      </w:r>
    </w:p>
    <w:p w14:paraId="78B92C8C" w14:textId="77777777" w:rsidR="0011047E" w:rsidRPr="008A1895" w:rsidRDefault="00000000">
      <w:pPr>
        <w:spacing w:after="16" w:line="259" w:lineRule="auto"/>
        <w:ind w:left="0" w:firstLine="0"/>
        <w:rPr>
          <w:lang w:val="en-US"/>
        </w:rPr>
      </w:pPr>
      <w:r w:rsidRPr="008A1895">
        <w:rPr>
          <w:lang w:val="en-US"/>
        </w:rPr>
        <w:t xml:space="preserve"> </w:t>
      </w:r>
    </w:p>
    <w:p w14:paraId="72EEF26A" w14:textId="77777777" w:rsidR="0011047E" w:rsidRPr="008A1895" w:rsidRDefault="00000000">
      <w:pPr>
        <w:pStyle w:val="Overskrift1"/>
        <w:ind w:left="-5"/>
        <w:rPr>
          <w:lang w:val="en-US"/>
        </w:rPr>
      </w:pPr>
      <w:r w:rsidRPr="008A1895">
        <w:rPr>
          <w:lang w:val="en-US"/>
        </w:rPr>
        <w:t>Contact with the Danish FSA</w:t>
      </w:r>
      <w:r w:rsidRPr="008A1895">
        <w:rPr>
          <w:u w:val="none"/>
          <w:lang w:val="en-US"/>
        </w:rPr>
        <w:t xml:space="preserve"> </w:t>
      </w:r>
    </w:p>
    <w:p w14:paraId="53D6BA94" w14:textId="62875AC0" w:rsidR="0011047E" w:rsidRPr="008A1895" w:rsidRDefault="00000000">
      <w:pPr>
        <w:spacing w:after="207"/>
        <w:ind w:left="-5"/>
        <w:rPr>
          <w:lang w:val="en-US"/>
        </w:rPr>
      </w:pPr>
      <w:r w:rsidRPr="008A1895">
        <w:rPr>
          <w:lang w:val="en-US"/>
        </w:rPr>
        <w:t xml:space="preserve">Any questions may be forwarded to Finanstilsynet (mail: </w:t>
      </w:r>
      <w:r w:rsidR="008A1895">
        <w:rPr>
          <w:color w:val="0000FF"/>
          <w:u w:val="single" w:color="0000FF"/>
          <w:lang w:val="en-US"/>
        </w:rPr>
        <w:t>post</w:t>
      </w:r>
      <w:r w:rsidRPr="008A1895">
        <w:rPr>
          <w:color w:val="0000FF"/>
          <w:u w:val="single" w:color="0000FF"/>
          <w:lang w:val="en-US"/>
        </w:rPr>
        <w:t>4@ftnet.dk</w:t>
      </w:r>
      <w:r w:rsidRPr="008A1895">
        <w:rPr>
          <w:lang w:val="en-US"/>
        </w:rPr>
        <w:t xml:space="preserve">) or </w:t>
      </w:r>
      <w:r w:rsidR="008A1895">
        <w:rPr>
          <w:lang w:val="en-US"/>
        </w:rPr>
        <w:t>Progressive</w:t>
      </w:r>
      <w:r w:rsidRPr="008A1895">
        <w:rPr>
          <w:lang w:val="en-US"/>
        </w:rPr>
        <w:t xml:space="preserve"> (mail:  </w:t>
      </w:r>
      <w:r w:rsidR="008A1895">
        <w:rPr>
          <w:color w:val="0000FF"/>
          <w:u w:val="single" w:color="0000FF"/>
          <w:lang w:val="en-US"/>
        </w:rPr>
        <w:t>support</w:t>
      </w:r>
      <w:r w:rsidR="008A1895" w:rsidRPr="008A1895">
        <w:rPr>
          <w:color w:val="0000FF"/>
          <w:u w:val="single" w:color="0000FF"/>
          <w:lang w:val="en-US"/>
        </w:rPr>
        <w:t>@</w:t>
      </w:r>
      <w:r w:rsidR="008A1895">
        <w:rPr>
          <w:color w:val="0000FF"/>
          <w:u w:val="single" w:color="0000FF"/>
          <w:lang w:val="en-US"/>
        </w:rPr>
        <w:t>TRSii</w:t>
      </w:r>
      <w:r w:rsidR="008A1895" w:rsidRPr="008A1895">
        <w:rPr>
          <w:color w:val="0000FF"/>
          <w:u w:val="single" w:color="0000FF"/>
          <w:lang w:val="en-US"/>
        </w:rPr>
        <w:t>.dk</w:t>
      </w:r>
      <w:r w:rsidR="008A1895">
        <w:rPr>
          <w:color w:val="0000FF"/>
          <w:u w:val="single" w:color="0000FF"/>
          <w:lang w:val="en-US"/>
        </w:rPr>
        <w:t>)</w:t>
      </w:r>
      <w:r w:rsidRPr="008A1895">
        <w:rPr>
          <w:lang w:val="en-US"/>
        </w:rPr>
        <w:t xml:space="preserve">. </w:t>
      </w:r>
    </w:p>
    <w:p w14:paraId="6FC09329" w14:textId="0D77BB9E" w:rsidR="0011047E" w:rsidRPr="008A1895" w:rsidRDefault="00000000">
      <w:pPr>
        <w:ind w:left="-5"/>
        <w:rPr>
          <w:lang w:val="en-US"/>
        </w:rPr>
      </w:pPr>
      <w:r w:rsidRPr="008A1895">
        <w:rPr>
          <w:lang w:val="en-US"/>
        </w:rPr>
        <w:t xml:space="preserve">In order to receive information on a current bases about MiFIR reporting as well as set-up and operation of TRSII in the various environments, the FSA invites the enterprises to be included on the e-mail distribution list of the FSA by writing to </w:t>
      </w:r>
      <w:r w:rsidR="008A1895">
        <w:rPr>
          <w:color w:val="0000FF"/>
          <w:u w:val="single" w:color="0000FF"/>
          <w:lang w:val="en-US"/>
        </w:rPr>
        <w:t>post4</w:t>
      </w:r>
      <w:r w:rsidRPr="008A1895">
        <w:rPr>
          <w:color w:val="0000FF"/>
          <w:u w:val="single" w:color="0000FF"/>
          <w:lang w:val="en-US"/>
        </w:rPr>
        <w:t>@ftnet.dk</w:t>
      </w:r>
      <w:r w:rsidRPr="008A1895">
        <w:rPr>
          <w:lang w:val="en-US"/>
        </w:rPr>
        <w:t xml:space="preserve"> and to follow updates on the website of the FSA</w:t>
      </w:r>
      <w:hyperlink r:id="rId7">
        <w:r w:rsidRPr="008A1895">
          <w:rPr>
            <w:lang w:val="en-US"/>
          </w:rPr>
          <w:t xml:space="preserve"> </w:t>
        </w:r>
      </w:hyperlink>
      <w:hyperlink r:id="rId8">
        <w:r w:rsidRPr="008A1895">
          <w:rPr>
            <w:color w:val="0000FF"/>
            <w:u w:val="single" w:color="0000FF"/>
            <w:lang w:val="en-US"/>
          </w:rPr>
          <w:t>MiFIR</w:t>
        </w:r>
      </w:hyperlink>
      <w:hyperlink r:id="rId9">
        <w:r w:rsidRPr="008A1895">
          <w:rPr>
            <w:color w:val="0000FF"/>
            <w:u w:val="single" w:color="0000FF"/>
            <w:lang w:val="en-US"/>
          </w:rPr>
          <w:t>-</w:t>
        </w:r>
      </w:hyperlink>
      <w:hyperlink r:id="rId10">
        <w:r w:rsidRPr="008A1895">
          <w:rPr>
            <w:color w:val="0000FF"/>
            <w:u w:val="single" w:color="0000FF"/>
            <w:lang w:val="en-US"/>
          </w:rPr>
          <w:t>TRS</w:t>
        </w:r>
      </w:hyperlink>
      <w:hyperlink r:id="rId11">
        <w:r w:rsidRPr="008A1895">
          <w:rPr>
            <w:lang w:val="en-US"/>
          </w:rPr>
          <w:t>.</w:t>
        </w:r>
      </w:hyperlink>
      <w:r w:rsidRPr="008A1895">
        <w:rPr>
          <w:lang w:val="en-US"/>
        </w:rPr>
        <w:t xml:space="preserve"> Through these channels the FSA will distribute information about set-up and operation of TRSII in the various environments.  </w:t>
      </w:r>
    </w:p>
    <w:sectPr w:rsidR="0011047E" w:rsidRPr="008A1895">
      <w:footerReference w:type="default" r:id="rId12"/>
      <w:footnotePr>
        <w:numRestart w:val="eachPage"/>
      </w:footnotePr>
      <w:pgSz w:w="11906" w:h="16838"/>
      <w:pgMar w:top="1462" w:right="1133" w:bottom="1701" w:left="170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515DD" w14:textId="77777777" w:rsidR="00864A39" w:rsidRDefault="00864A39">
      <w:pPr>
        <w:spacing w:after="0" w:line="240" w:lineRule="auto"/>
      </w:pPr>
      <w:r>
        <w:separator/>
      </w:r>
    </w:p>
  </w:endnote>
  <w:endnote w:type="continuationSeparator" w:id="0">
    <w:p w14:paraId="36017AF2" w14:textId="77777777" w:rsidR="00864A39" w:rsidRDefault="0086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603004"/>
      <w:docPartObj>
        <w:docPartGallery w:val="Page Numbers (Bottom of Page)"/>
        <w:docPartUnique/>
      </w:docPartObj>
    </w:sdtPr>
    <w:sdtContent>
      <w:sdt>
        <w:sdtPr>
          <w:id w:val="-1769616900"/>
          <w:docPartObj>
            <w:docPartGallery w:val="Page Numbers (Top of Page)"/>
            <w:docPartUnique/>
          </w:docPartObj>
        </w:sdtPr>
        <w:sdtContent>
          <w:p w14:paraId="570A3D53" w14:textId="77777777" w:rsidR="008A1895" w:rsidRDefault="008A1895" w:rsidP="008A1895">
            <w:pPr>
              <w:pStyle w:val="Sidefod"/>
              <w:ind w:left="1985" w:hanging="1985"/>
              <w:rPr>
                <w:sz w:val="18"/>
                <w:szCs w:val="18"/>
              </w:rPr>
            </w:pPr>
            <w:r>
              <w:rPr>
                <w:noProof/>
              </w:rPr>
              <w:drawing>
                <wp:inline distT="0" distB="0" distL="0" distR="0" wp14:anchorId="609A53C4" wp14:editId="1B8C7433">
                  <wp:extent cx="962025" cy="333375"/>
                  <wp:effectExtent l="1905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srcRect/>
                          <a:stretch>
                            <a:fillRect/>
                          </a:stretch>
                        </pic:blipFill>
                        <pic:spPr bwMode="auto">
                          <a:xfrm>
                            <a:off x="0" y="0"/>
                            <a:ext cx="962025" cy="333375"/>
                          </a:xfrm>
                          <a:prstGeom prst="rect">
                            <a:avLst/>
                          </a:prstGeom>
                          <a:noFill/>
                          <a:ln w="9525">
                            <a:noFill/>
                            <a:miter lim="800000"/>
                            <a:headEnd/>
                            <a:tailEnd/>
                          </a:ln>
                        </pic:spPr>
                      </pic:pic>
                    </a:graphicData>
                  </a:graphic>
                </wp:inline>
              </w:drawing>
            </w:r>
            <w:r>
              <w:tab/>
            </w:r>
            <w:r w:rsidRPr="00AA5453">
              <w:rPr>
                <w:sz w:val="18"/>
                <w:szCs w:val="18"/>
              </w:rPr>
              <w:t>Finanstilsynet</w:t>
            </w:r>
            <w:r>
              <w:rPr>
                <w:sz w:val="18"/>
                <w:szCs w:val="18"/>
              </w:rPr>
              <w:t xml:space="preserve"> – Strandgade 29 – DK-1401 Copenhagen K</w:t>
            </w:r>
          </w:p>
          <w:p w14:paraId="3EDF7D98" w14:textId="77777777" w:rsidR="008A1895" w:rsidRDefault="008A1895" w:rsidP="008A1895">
            <w:pPr>
              <w:pStyle w:val="Sidefod"/>
              <w:ind w:left="1985" w:hanging="1985"/>
            </w:pPr>
            <w:r>
              <w:rPr>
                <w:sz w:val="18"/>
                <w:szCs w:val="18"/>
              </w:rPr>
              <w:tab/>
              <w:t>Telephone +45 33 55 82 82</w:t>
            </w:r>
            <w:r>
              <w:t xml:space="preserve"> </w:t>
            </w:r>
            <w:r>
              <w:rPr>
                <w:sz w:val="18"/>
                <w:szCs w:val="18"/>
              </w:rPr>
              <w:t>– Fax +45 33 55 82 00</w:t>
            </w:r>
          </w:p>
          <w:p w14:paraId="515E45CB" w14:textId="1EE209AF" w:rsidR="008A1895" w:rsidRDefault="008A1895">
            <w:pPr>
              <w:pStyle w:val="Sidefod"/>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A3E31A3" w14:textId="77777777" w:rsidR="008A1895" w:rsidRDefault="008A189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E1BF" w14:textId="77777777" w:rsidR="00864A39" w:rsidRDefault="00864A39">
      <w:pPr>
        <w:spacing w:after="0" w:line="259" w:lineRule="auto"/>
        <w:ind w:left="0" w:firstLine="0"/>
      </w:pPr>
      <w:r>
        <w:separator/>
      </w:r>
    </w:p>
  </w:footnote>
  <w:footnote w:type="continuationSeparator" w:id="0">
    <w:p w14:paraId="28C323D9" w14:textId="77777777" w:rsidR="00864A39" w:rsidRDefault="00864A39">
      <w:pPr>
        <w:spacing w:after="0" w:line="259" w:lineRule="auto"/>
        <w:ind w:left="0"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7F7"/>
    <w:multiLevelType w:val="hybridMultilevel"/>
    <w:tmpl w:val="3F3EB648"/>
    <w:lvl w:ilvl="0" w:tplc="790C20E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6295C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BECF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94258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3886E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98631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EAE5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EE81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6010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527595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7E"/>
    <w:rsid w:val="0011047E"/>
    <w:rsid w:val="00864A39"/>
    <w:rsid w:val="008A1895"/>
    <w:rsid w:val="00BF6170"/>
    <w:rsid w:val="00FA2A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D8B4"/>
  <w15:docId w15:val="{4E4EFFC2-F05F-4EC5-9252-D4688D47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10" w:hanging="10"/>
    </w:pPr>
    <w:rPr>
      <w:rFonts w:ascii="Calibri" w:eastAsia="Calibri" w:hAnsi="Calibri" w:cs="Calibri"/>
      <w:color w:val="000000"/>
    </w:rPr>
  </w:style>
  <w:style w:type="paragraph" w:styleId="Overskrift1">
    <w:name w:val="heading 1"/>
    <w:next w:val="Normal"/>
    <w:link w:val="Overskrift1Tegn"/>
    <w:uiPriority w:val="9"/>
    <w:qFormat/>
    <w:pPr>
      <w:keepNext/>
      <w:keepLines/>
      <w:spacing w:after="17"/>
      <w:ind w:left="10" w:hanging="10"/>
      <w:outlineLvl w:val="0"/>
    </w:pPr>
    <w:rPr>
      <w:rFonts w:ascii="Calibri" w:eastAsia="Calibri" w:hAnsi="Calibri" w:cs="Calibri"/>
      <w:color w:val="000000"/>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color w:val="000000"/>
      <w:sz w:val="22"/>
      <w:u w:val="single" w:color="000000"/>
    </w:rPr>
  </w:style>
  <w:style w:type="paragraph" w:customStyle="1" w:styleId="footnotedescription">
    <w:name w:val="footnote description"/>
    <w:next w:val="Normal"/>
    <w:link w:val="footnotedescriptionChar"/>
    <w:hidden/>
    <w:pPr>
      <w:spacing w:after="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Sidehoved">
    <w:name w:val="header"/>
    <w:basedOn w:val="Normal"/>
    <w:link w:val="SidehovedTegn"/>
    <w:uiPriority w:val="99"/>
    <w:unhideWhenUsed/>
    <w:rsid w:val="008A189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A1895"/>
    <w:rPr>
      <w:rFonts w:ascii="Calibri" w:eastAsia="Calibri" w:hAnsi="Calibri" w:cs="Calibri"/>
      <w:color w:val="000000"/>
    </w:rPr>
  </w:style>
  <w:style w:type="paragraph" w:styleId="Sidefod">
    <w:name w:val="footer"/>
    <w:basedOn w:val="Normal"/>
    <w:link w:val="SidefodTegn"/>
    <w:uiPriority w:val="4"/>
    <w:unhideWhenUsed/>
    <w:rsid w:val="008A1895"/>
    <w:pPr>
      <w:tabs>
        <w:tab w:val="center" w:pos="4819"/>
        <w:tab w:val="right" w:pos="9638"/>
      </w:tabs>
      <w:spacing w:after="0" w:line="240" w:lineRule="auto"/>
    </w:pPr>
  </w:style>
  <w:style w:type="character" w:customStyle="1" w:styleId="SidefodTegn">
    <w:name w:val="Sidefod Tegn"/>
    <w:basedOn w:val="Standardskrifttypeiafsnit"/>
    <w:link w:val="Sidefod"/>
    <w:uiPriority w:val="4"/>
    <w:rsid w:val="008A1895"/>
    <w:rPr>
      <w:rFonts w:ascii="Calibri" w:eastAsia="Calibri" w:hAnsi="Calibri" w:cs="Calibri"/>
      <w:color w:val="000000"/>
    </w:rPr>
  </w:style>
  <w:style w:type="character" w:styleId="Hyperlink">
    <w:name w:val="Hyperlink"/>
    <w:basedOn w:val="Standardskrifttypeiafsnit"/>
    <w:uiPriority w:val="99"/>
    <w:unhideWhenUsed/>
    <w:rsid w:val="008A1895"/>
    <w:rPr>
      <w:color w:val="0563C1" w:themeColor="hyperlink"/>
      <w:u w:val="single"/>
    </w:rPr>
  </w:style>
  <w:style w:type="character" w:styleId="Ulstomtale">
    <w:name w:val="Unresolved Mention"/>
    <w:basedOn w:val="Standardskrifttypeiafsnit"/>
    <w:uiPriority w:val="99"/>
    <w:semiHidden/>
    <w:unhideWhenUsed/>
    <w:rsid w:val="008A1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inanstilsynet.dk/da/Lovgivning/Information-om-udvalgte-tilsynsomraader/MiFIR-T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anstilsynet.dk/da/Lovgivning/Information-om-udvalgte-tilsynsomraader/MiFIR-TR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nanstilsynet.dk/da/Lovgivning/Information-om-udvalgte-tilsynsomraader/MiFIR-TRS" TargetMode="External"/><Relationship Id="rId5" Type="http://schemas.openxmlformats.org/officeDocument/2006/relationships/footnotes" Target="footnotes.xml"/><Relationship Id="rId10" Type="http://schemas.openxmlformats.org/officeDocument/2006/relationships/hyperlink" Target="http://www.finanstilsynet.dk/da/Lovgivning/Information-om-udvalgte-tilsynsomraader/MiFIR-TRS" TargetMode="External"/><Relationship Id="rId4" Type="http://schemas.openxmlformats.org/officeDocument/2006/relationships/webSettings" Target="webSettings.xml"/><Relationship Id="rId9" Type="http://schemas.openxmlformats.org/officeDocument/2006/relationships/hyperlink" Target="http://www.finanstilsynet.dk/da/Lovgivning/Information-om-udvalgte-tilsynsomraader/MiFIR-T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3307</Characters>
  <Application>Microsoft Office Word</Application>
  <DocSecurity>0</DocSecurity>
  <Lines>27</Lines>
  <Paragraphs>7</Paragraphs>
  <ScaleCrop>false</ScaleCrop>
  <Company>Finanstilsynet</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Andersen</dc:creator>
  <cp:keywords/>
  <cp:lastModifiedBy>Betina Norman (FT)</cp:lastModifiedBy>
  <cp:revision>3</cp:revision>
  <dcterms:created xsi:type="dcterms:W3CDTF">2023-05-31T12:57:00Z</dcterms:created>
  <dcterms:modified xsi:type="dcterms:W3CDTF">2023-06-02T06:33:00Z</dcterms:modified>
</cp:coreProperties>
</file>